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53" w:rsidRDefault="00A94A53" w:rsidP="00A94A53">
      <w:pPr>
        <w:jc w:val="center"/>
        <w:rPr>
          <w:rFonts w:cstheme="minorHAnsi"/>
          <w:b/>
          <w:sz w:val="32"/>
          <w:szCs w:val="32"/>
          <w:lang w:val="en-GB"/>
        </w:rPr>
      </w:pPr>
      <w:r w:rsidRPr="00AD7767">
        <w:rPr>
          <w:rFonts w:cstheme="minorHAnsi"/>
          <w:b/>
          <w:sz w:val="32"/>
          <w:szCs w:val="32"/>
          <w:lang w:val="en-GB"/>
        </w:rPr>
        <w:t>Internationalisation strategies in VET</w:t>
      </w:r>
    </w:p>
    <w:p w:rsidR="00A94A53" w:rsidRDefault="00A94A53" w:rsidP="00A94A53">
      <w:pPr>
        <w:jc w:val="center"/>
        <w:rPr>
          <w:rFonts w:cstheme="minorHAnsi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Learning outcomes</w:t>
      </w:r>
    </w:p>
    <w:p w:rsidR="00A94A53" w:rsidRDefault="00A94A53" w:rsidP="00A94A53">
      <w:pPr>
        <w:rPr>
          <w:rFonts w:cstheme="minorHAnsi"/>
          <w:sz w:val="28"/>
          <w:szCs w:val="28"/>
          <w:lang w:val="en-GB"/>
        </w:rPr>
      </w:pP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 w:rsidRPr="00253D45">
        <w:rPr>
          <w:rFonts w:cstheme="minorHAnsi"/>
          <w:sz w:val="28"/>
          <w:szCs w:val="28"/>
          <w:lang w:val="en-GB"/>
        </w:rPr>
        <w:t>After the training the participant:</w:t>
      </w: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 xml:space="preserve">has an understanding of the </w:t>
      </w:r>
      <w:r w:rsidRPr="00253D45">
        <w:rPr>
          <w:rFonts w:cstheme="minorHAnsi"/>
          <w:b/>
          <w:sz w:val="28"/>
          <w:szCs w:val="28"/>
          <w:lang w:val="en-GB"/>
        </w:rPr>
        <w:t>general value of</w:t>
      </w:r>
      <w:r w:rsidRPr="00253D45">
        <w:rPr>
          <w:rFonts w:cstheme="minorHAnsi"/>
          <w:sz w:val="28"/>
          <w:szCs w:val="28"/>
          <w:lang w:val="en-GB"/>
        </w:rPr>
        <w:t xml:space="preserve"> </w:t>
      </w:r>
      <w:r w:rsidRPr="00253D45">
        <w:rPr>
          <w:rFonts w:cstheme="minorHAnsi"/>
          <w:b/>
          <w:sz w:val="28"/>
          <w:szCs w:val="28"/>
          <w:lang w:val="en-GB"/>
        </w:rPr>
        <w:t>strategic planning</w:t>
      </w:r>
      <w:r w:rsidRPr="00253D45">
        <w:rPr>
          <w:rFonts w:cstheme="minorHAnsi"/>
          <w:sz w:val="28"/>
          <w:szCs w:val="28"/>
          <w:lang w:val="en-GB"/>
        </w:rPr>
        <w:t>, strategy structures and the issues and processes involved</w:t>
      </w:r>
      <w:r>
        <w:rPr>
          <w:rFonts w:cstheme="minorHAnsi"/>
          <w:sz w:val="28"/>
          <w:szCs w:val="28"/>
          <w:lang w:val="en-GB"/>
        </w:rPr>
        <w:t>;</w:t>
      </w: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 xml:space="preserve">has knowledge of what strategic planning and approaches can bring to the field of </w:t>
      </w:r>
      <w:r w:rsidRPr="00253D45">
        <w:rPr>
          <w:rFonts w:cstheme="minorHAnsi"/>
          <w:b/>
          <w:sz w:val="28"/>
          <w:szCs w:val="28"/>
          <w:lang w:val="en-GB"/>
        </w:rPr>
        <w:t>internationalisation</w:t>
      </w:r>
      <w:r w:rsidRPr="00253D45">
        <w:rPr>
          <w:rFonts w:cstheme="minorHAnsi"/>
          <w:sz w:val="28"/>
          <w:szCs w:val="28"/>
          <w:lang w:val="en-GB"/>
        </w:rPr>
        <w:t xml:space="preserve"> and mobility and also of how to link that with the development of an institution</w:t>
      </w:r>
      <w:r>
        <w:rPr>
          <w:rFonts w:cstheme="minorHAnsi"/>
          <w:sz w:val="28"/>
          <w:szCs w:val="28"/>
          <w:lang w:val="en-GB"/>
        </w:rPr>
        <w:t>;</w:t>
      </w: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 xml:space="preserve">gets acquainted with </w:t>
      </w:r>
      <w:r w:rsidRPr="00253D45">
        <w:rPr>
          <w:rFonts w:cstheme="minorHAnsi"/>
          <w:b/>
          <w:sz w:val="28"/>
          <w:szCs w:val="28"/>
          <w:lang w:val="en-GB"/>
        </w:rPr>
        <w:t>how institutions in other countries approach strategic thinking in the context of internationalization</w:t>
      </w:r>
      <w:r>
        <w:rPr>
          <w:rFonts w:cstheme="minorHAnsi"/>
          <w:b/>
          <w:sz w:val="28"/>
          <w:szCs w:val="28"/>
          <w:lang w:val="en-GB"/>
        </w:rPr>
        <w:t>;</w:t>
      </w: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 xml:space="preserve">gets acquainted with </w:t>
      </w:r>
      <w:r w:rsidRPr="00253D45">
        <w:rPr>
          <w:rFonts w:cstheme="minorHAnsi"/>
          <w:b/>
          <w:sz w:val="28"/>
          <w:szCs w:val="28"/>
          <w:lang w:val="en-GB"/>
        </w:rPr>
        <w:t xml:space="preserve">QA-topics and indicators, </w:t>
      </w:r>
      <w:r w:rsidRPr="00253D45">
        <w:rPr>
          <w:rFonts w:cstheme="minorHAnsi"/>
          <w:sz w:val="28"/>
          <w:szCs w:val="28"/>
          <w:lang w:val="en-GB"/>
        </w:rPr>
        <w:t>in order to measure the extent to which the processes applied and the results achieved are fit for the purposes</w:t>
      </w:r>
      <w:r>
        <w:rPr>
          <w:rFonts w:cstheme="minorHAnsi"/>
          <w:sz w:val="28"/>
          <w:szCs w:val="28"/>
          <w:lang w:val="en-GB"/>
        </w:rPr>
        <w:t>;</w:t>
      </w: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 xml:space="preserve">is able </w:t>
      </w:r>
      <w:r w:rsidRPr="00253D45">
        <w:rPr>
          <w:rFonts w:cstheme="minorHAnsi"/>
          <w:b/>
          <w:sz w:val="28"/>
          <w:szCs w:val="28"/>
          <w:lang w:val="en-GB"/>
        </w:rPr>
        <w:t>to set up the</w:t>
      </w:r>
      <w:r w:rsidRPr="00253D45">
        <w:rPr>
          <w:rFonts w:cstheme="minorHAnsi"/>
          <w:sz w:val="28"/>
          <w:szCs w:val="28"/>
          <w:lang w:val="en-GB"/>
        </w:rPr>
        <w:t xml:space="preserve"> </w:t>
      </w:r>
      <w:r w:rsidRPr="00253D45">
        <w:rPr>
          <w:rFonts w:cstheme="minorHAnsi"/>
          <w:b/>
          <w:sz w:val="28"/>
          <w:szCs w:val="28"/>
          <w:lang w:val="en-GB"/>
        </w:rPr>
        <w:t>next steps</w:t>
      </w:r>
      <w:r w:rsidRPr="00253D45">
        <w:rPr>
          <w:rFonts w:cstheme="minorHAnsi"/>
          <w:sz w:val="28"/>
          <w:szCs w:val="28"/>
          <w:lang w:val="en-GB"/>
        </w:rPr>
        <w:t xml:space="preserve"> needed in their own institution to go on a “strategy journey” that works for their institution and fits their own context</w:t>
      </w:r>
      <w:r>
        <w:rPr>
          <w:rFonts w:cstheme="minorHAnsi"/>
          <w:sz w:val="28"/>
          <w:szCs w:val="28"/>
          <w:lang w:val="en-GB"/>
        </w:rPr>
        <w:t>;</w:t>
      </w:r>
    </w:p>
    <w:p w:rsidR="00A94A53" w:rsidRPr="00253D45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 xml:space="preserve">realises what role the strategy process plays in </w:t>
      </w:r>
      <w:r w:rsidRPr="00253D45">
        <w:rPr>
          <w:rFonts w:cstheme="minorHAnsi"/>
          <w:b/>
          <w:sz w:val="28"/>
          <w:szCs w:val="28"/>
          <w:lang w:val="en-GB"/>
        </w:rPr>
        <w:t>making a strategy a shared vision</w:t>
      </w:r>
      <w:r w:rsidRPr="00253D45">
        <w:rPr>
          <w:rFonts w:cstheme="minorHAnsi"/>
          <w:sz w:val="28"/>
          <w:szCs w:val="28"/>
          <w:lang w:val="en-GB"/>
        </w:rPr>
        <w:t xml:space="preserve"> and </w:t>
      </w:r>
      <w:r w:rsidRPr="00253D45">
        <w:rPr>
          <w:rFonts w:cstheme="minorHAnsi"/>
          <w:b/>
          <w:sz w:val="28"/>
          <w:szCs w:val="28"/>
          <w:lang w:val="en-GB"/>
        </w:rPr>
        <w:t>coming alive</w:t>
      </w:r>
      <w:r w:rsidRPr="00253D45">
        <w:rPr>
          <w:rFonts w:cstheme="minorHAnsi"/>
          <w:sz w:val="28"/>
          <w:szCs w:val="28"/>
          <w:lang w:val="en-GB"/>
        </w:rPr>
        <w:t xml:space="preserve"> in an institution</w:t>
      </w:r>
      <w:r>
        <w:rPr>
          <w:rFonts w:cstheme="minorHAnsi"/>
          <w:sz w:val="28"/>
          <w:szCs w:val="28"/>
          <w:lang w:val="en-GB"/>
        </w:rPr>
        <w:t>;</w:t>
      </w:r>
    </w:p>
    <w:p w:rsidR="00A94A53" w:rsidRDefault="00A94A53" w:rsidP="00A94A5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- </w:t>
      </w:r>
      <w:r w:rsidRPr="00253D45">
        <w:rPr>
          <w:rFonts w:cstheme="minorHAnsi"/>
          <w:sz w:val="28"/>
          <w:szCs w:val="28"/>
          <w:lang w:val="en-GB"/>
        </w:rPr>
        <w:t>knows how to overcome</w:t>
      </w:r>
      <w:r w:rsidRPr="00253D45">
        <w:rPr>
          <w:rFonts w:cstheme="minorHAnsi"/>
          <w:b/>
          <w:sz w:val="28"/>
          <w:szCs w:val="28"/>
          <w:lang w:val="en-GB"/>
        </w:rPr>
        <w:t xml:space="preserve"> organisational challenges</w:t>
      </w:r>
      <w:r w:rsidRPr="00253D45">
        <w:rPr>
          <w:rFonts w:cstheme="minorHAnsi"/>
          <w:sz w:val="28"/>
          <w:szCs w:val="28"/>
          <w:lang w:val="en-GB"/>
        </w:rPr>
        <w:t xml:space="preserve"> and how to</w:t>
      </w:r>
      <w:r w:rsidRPr="00253D45">
        <w:rPr>
          <w:rFonts w:cstheme="minorHAnsi"/>
          <w:b/>
          <w:sz w:val="28"/>
          <w:szCs w:val="28"/>
          <w:lang w:val="en-GB"/>
        </w:rPr>
        <w:t xml:space="preserve"> motivate </w:t>
      </w:r>
      <w:r w:rsidRPr="00253D45">
        <w:rPr>
          <w:rFonts w:cstheme="minorHAnsi"/>
          <w:sz w:val="28"/>
          <w:szCs w:val="28"/>
          <w:lang w:val="en-GB"/>
        </w:rPr>
        <w:t>staff and other stakeholders to participate and contribute</w:t>
      </w:r>
      <w:r>
        <w:rPr>
          <w:rFonts w:cstheme="minorHAnsi"/>
          <w:sz w:val="28"/>
          <w:szCs w:val="28"/>
          <w:lang w:val="en-GB"/>
        </w:rPr>
        <w:t>.</w:t>
      </w:r>
    </w:p>
    <w:p w:rsidR="00A94A53" w:rsidRDefault="00A94A53" w:rsidP="00A94A53">
      <w:pPr>
        <w:rPr>
          <w:rFonts w:cstheme="minorHAnsi"/>
          <w:sz w:val="28"/>
          <w:szCs w:val="28"/>
          <w:lang w:val="en-GB"/>
        </w:rPr>
      </w:pPr>
    </w:p>
    <w:p w:rsidR="00A94A53" w:rsidRDefault="00A94A53" w:rsidP="00A94A53">
      <w:pPr>
        <w:jc w:val="center"/>
        <w:rPr>
          <w:rFonts w:cstheme="minorHAnsi"/>
          <w:b/>
          <w:sz w:val="32"/>
          <w:szCs w:val="32"/>
          <w:lang w:val="en-GB"/>
        </w:rPr>
      </w:pPr>
      <w:r w:rsidRPr="00AD7767">
        <w:rPr>
          <w:rFonts w:cstheme="minorHAnsi"/>
          <w:b/>
          <w:sz w:val="32"/>
          <w:szCs w:val="32"/>
          <w:lang w:val="en-GB"/>
        </w:rPr>
        <w:lastRenderedPageBreak/>
        <w:t>Internationalisation strategies in VET</w:t>
      </w:r>
      <w:r>
        <w:rPr>
          <w:rFonts w:cstheme="minorHAnsi"/>
          <w:b/>
          <w:sz w:val="32"/>
          <w:szCs w:val="32"/>
          <w:lang w:val="en-GB"/>
        </w:rPr>
        <w:t xml:space="preserve"> </w:t>
      </w:r>
    </w:p>
    <w:p w:rsidR="00A94A53" w:rsidRDefault="00A94A53" w:rsidP="00A94A53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 xml:space="preserve">Planned </w:t>
      </w:r>
      <w:r>
        <w:rPr>
          <w:rFonts w:cstheme="minorHAnsi"/>
          <w:b/>
          <w:sz w:val="32"/>
          <w:szCs w:val="32"/>
          <w:lang w:val="en-GB"/>
        </w:rPr>
        <w:t>Topics</w:t>
      </w:r>
    </w:p>
    <w:p w:rsidR="00A94A53" w:rsidRDefault="00A94A53" w:rsidP="00A94A53">
      <w:pPr>
        <w:jc w:val="center"/>
        <w:rPr>
          <w:rFonts w:cstheme="minorHAnsi"/>
          <w:lang w:val="en-GB"/>
        </w:rPr>
      </w:pP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Global/country/institutional context</w:t>
      </w: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Mission – vision – values – core competences – action plan</w:t>
      </w: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Value of internationalisation</w:t>
      </w: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Strategic goal setting for international activities</w:t>
      </w: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PDCA and indicators</w:t>
      </w: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Prototype of action plan and implementation</w:t>
      </w:r>
    </w:p>
    <w:p w:rsidR="00A94A53" w:rsidRPr="00871E8E" w:rsidRDefault="00A94A53" w:rsidP="00A94A53">
      <w:pPr>
        <w:pStyle w:val="Listaszerbekezds"/>
        <w:numPr>
          <w:ilvl w:val="0"/>
          <w:numId w:val="1"/>
        </w:numPr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</w:pPr>
      <w:r w:rsidRPr="00871E8E">
        <w:rPr>
          <w:rFonts w:asciiTheme="minorHAnsi" w:eastAsiaTheme="minorHAnsi" w:hAnsiTheme="minorHAnsi" w:cstheme="minorHAnsi"/>
          <w:b w:val="0"/>
          <w:sz w:val="28"/>
          <w:szCs w:val="28"/>
          <w:lang w:val="en-GB" w:eastAsia="en-US"/>
        </w:rPr>
        <w:t>Organizational culture scan</w:t>
      </w:r>
    </w:p>
    <w:p w:rsidR="00636566" w:rsidRDefault="00A94A53">
      <w:bookmarkStart w:id="0" w:name="_GoBack"/>
      <w:bookmarkEnd w:id="0"/>
    </w:p>
    <w:sectPr w:rsidR="00636566" w:rsidSect="000D70CD">
      <w:headerReference w:type="default" r:id="rId7"/>
      <w:footerReference w:type="default" r:id="rId8"/>
      <w:pgSz w:w="16838" w:h="11906" w:orient="landscape" w:code="9"/>
      <w:pgMar w:top="1418" w:right="82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53" w:rsidRDefault="00A94A53" w:rsidP="00A94A53">
      <w:pPr>
        <w:spacing w:after="0" w:line="240" w:lineRule="auto"/>
      </w:pPr>
      <w:r>
        <w:separator/>
      </w:r>
    </w:p>
  </w:endnote>
  <w:endnote w:type="continuationSeparator" w:id="0">
    <w:p w:rsidR="00A94A53" w:rsidRDefault="00A94A53" w:rsidP="00A9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465198"/>
      <w:docPartObj>
        <w:docPartGallery w:val="Page Numbers (Bottom of Page)"/>
        <w:docPartUnique/>
      </w:docPartObj>
    </w:sdtPr>
    <w:sdtEndPr/>
    <w:sdtContent>
      <w:p w:rsidR="00253D45" w:rsidRDefault="00A94A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3D45" w:rsidRDefault="00A94A53" w:rsidP="00016809">
    <w:pPr>
      <w:pStyle w:val="llb"/>
      <w:tabs>
        <w:tab w:val="clear" w:pos="4536"/>
        <w:tab w:val="clear" w:pos="9072"/>
        <w:tab w:val="center" w:pos="7371"/>
        <w:tab w:val="right" w:pos="14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53" w:rsidRDefault="00A94A53" w:rsidP="00A94A53">
      <w:pPr>
        <w:spacing w:after="0" w:line="240" w:lineRule="auto"/>
      </w:pPr>
      <w:r>
        <w:separator/>
      </w:r>
    </w:p>
  </w:footnote>
  <w:footnote w:type="continuationSeparator" w:id="0">
    <w:p w:rsidR="00A94A53" w:rsidRDefault="00A94A53" w:rsidP="00A9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45" w:rsidRDefault="00A94A53" w:rsidP="00115DAB">
    <w:pPr>
      <w:pStyle w:val="lfej"/>
      <w:tabs>
        <w:tab w:val="clear" w:pos="4536"/>
        <w:tab w:val="clear" w:pos="9072"/>
        <w:tab w:val="left" w:pos="11057"/>
        <w:tab w:val="right" w:pos="14601"/>
      </w:tabs>
      <w:ind w:left="-709" w:right="-1"/>
    </w:pPr>
    <w:r>
      <w:t>DE</w:t>
    </w:r>
    <w:r>
      <w:t>-HU-NL</w:t>
    </w:r>
    <w:r>
      <w:t>-FI</w:t>
    </w:r>
    <w:r>
      <w:t xml:space="preserve"> </w:t>
    </w:r>
    <w:proofErr w:type="spellStart"/>
    <w:r>
      <w:t>Transnational</w:t>
    </w:r>
    <w:proofErr w:type="spellEnd"/>
    <w:r>
      <w:t xml:space="preserve"> </w:t>
    </w:r>
    <w:proofErr w:type="spellStart"/>
    <w:r>
      <w:t>Cooperation</w:t>
    </w:r>
    <w:proofErr w:type="spellEnd"/>
    <w:r>
      <w:t xml:space="preserve"> </w:t>
    </w:r>
    <w:proofErr w:type="spellStart"/>
    <w:r>
      <w:t>Activity</w:t>
    </w:r>
    <w:proofErr w:type="spellEnd"/>
    <w:r>
      <w:t xml:space="preserve"> </w:t>
    </w:r>
    <w:r>
      <w:tab/>
    </w:r>
    <w:proofErr w:type="spellStart"/>
    <w:r>
      <w:t>Internationalisation</w:t>
    </w:r>
    <w:proofErr w:type="spellEnd"/>
    <w:r>
      <w:t xml:space="preserve"> </w:t>
    </w:r>
    <w:proofErr w:type="spellStart"/>
    <w:r>
      <w:t>Strategies</w:t>
    </w:r>
    <w:proofErr w:type="spellEnd"/>
    <w:r>
      <w:t xml:space="preserve"> in VET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668FA"/>
    <w:multiLevelType w:val="hybridMultilevel"/>
    <w:tmpl w:val="F40CF9EE"/>
    <w:lvl w:ilvl="0" w:tplc="040E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53"/>
    <w:rsid w:val="00640F46"/>
    <w:rsid w:val="00A94A53"/>
    <w:rsid w:val="00D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4CE3"/>
  <w15:chartTrackingRefBased/>
  <w15:docId w15:val="{6B7771D7-80B3-4B79-AA8A-14440CEF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A5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4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9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4A53"/>
  </w:style>
  <w:style w:type="paragraph" w:styleId="llb">
    <w:name w:val="footer"/>
    <w:basedOn w:val="Norml"/>
    <w:link w:val="llbChar"/>
    <w:uiPriority w:val="99"/>
    <w:unhideWhenUsed/>
    <w:rsid w:val="00A9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Csenge</dc:creator>
  <cp:keywords/>
  <dc:description/>
  <cp:lastModifiedBy>Tóth Csenge</cp:lastModifiedBy>
  <cp:revision>1</cp:revision>
  <dcterms:created xsi:type="dcterms:W3CDTF">2019-01-21T08:59:00Z</dcterms:created>
  <dcterms:modified xsi:type="dcterms:W3CDTF">2019-01-21T09:00:00Z</dcterms:modified>
</cp:coreProperties>
</file>